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rPr>
          <w:rFonts w:hint="eastAsia" w:ascii="方正仿宋_GBK" w:eastAsia="方正仿宋_GBK"/>
          <w:sz w:val="24"/>
          <w:szCs w:val="24"/>
        </w:rPr>
      </w:pPr>
      <w:bookmarkStart w:id="0" w:name="_Toc466546921"/>
      <w:r>
        <w:rPr>
          <w:rFonts w:hint="eastAsia" w:ascii="方正仿宋_GBK" w:hAnsi="宋体" w:eastAsia="方正仿宋_GBK"/>
          <w:sz w:val="24"/>
          <w:szCs w:val="24"/>
        </w:rPr>
        <w:t>二、</w:t>
      </w:r>
      <w:r>
        <w:rPr>
          <w:rFonts w:hint="eastAsia" w:ascii="方正仿宋_GBK" w:eastAsia="方正仿宋_GBK"/>
          <w:sz w:val="24"/>
          <w:szCs w:val="24"/>
        </w:rPr>
        <w:t>评审标准</w:t>
      </w:r>
      <w:bookmarkEnd w:id="0"/>
    </w:p>
    <w:tbl>
      <w:tblPr>
        <w:tblStyle w:val="3"/>
        <w:tblW w:w="9625" w:type="dxa"/>
        <w:tblInd w:w="-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65"/>
        <w:gridCol w:w="5528"/>
        <w:gridCol w:w="709"/>
        <w:gridCol w:w="1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104" w:leftChars="-37" w:right="-98" w:rightChars="-35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4" w:leftChars="-37" w:right="-98" w:rightChars="-35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评审因素</w:t>
            </w:r>
          </w:p>
        </w:tc>
        <w:tc>
          <w:tcPr>
            <w:tcW w:w="55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4" w:leftChars="-37" w:right="-98" w:rightChars="-35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评分细则</w:t>
            </w:r>
          </w:p>
        </w:tc>
        <w:tc>
          <w:tcPr>
            <w:tcW w:w="709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4" w:leftChars="-37" w:right="-98" w:rightChars="-35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权重（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04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4" w:leftChars="-37" w:right="-98" w:rightChars="-35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分值（分）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894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技术部分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(合计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0分)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exact"/>
        </w:trPr>
        <w:tc>
          <w:tcPr>
            <w:tcW w:w="67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5"/>
              <w:keepNext/>
              <w:numPr>
                <w:ilvl w:val="0"/>
                <w:numId w:val="1"/>
              </w:numPr>
              <w:snapToGrid w:val="0"/>
              <w:spacing w:line="360" w:lineRule="atLeast"/>
              <w:ind w:firstLineChars="0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adjustRightInd w:val="0"/>
              <w:ind w:left="11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</w:t>
            </w:r>
            <w:r>
              <w:rPr>
                <w:sz w:val="24"/>
                <w:szCs w:val="24"/>
              </w:rPr>
              <w:t>方案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项目总体状况响应程度，项目服务方案，项目质量保障措施。</w:t>
            </w:r>
            <w:r>
              <w:rPr>
                <w:rFonts w:hint="eastAsia" w:ascii="宋体" w:hAnsi="宋体" w:cs="宋体"/>
                <w:sz w:val="24"/>
                <w:szCs w:val="24"/>
              </w:rPr>
              <w:t>针对性强，</w:t>
            </w:r>
            <w:r>
              <w:rPr>
                <w:rFonts w:ascii="宋体" w:hAnsi="宋体" w:cs="宋体"/>
                <w:sz w:val="24"/>
                <w:szCs w:val="24"/>
              </w:rPr>
              <w:t>全面具体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工作思路较准确清晰、</w:t>
            </w:r>
            <w:r>
              <w:rPr>
                <w:rFonts w:hint="eastAsia" w:ascii="宋体" w:hAnsi="宋体" w:cs="宋体"/>
                <w:sz w:val="24"/>
                <w:szCs w:val="24"/>
              </w:rPr>
              <w:t>质量保障全面具体配套完整、制度健全得</w:t>
            </w:r>
            <w:r>
              <w:rPr>
                <w:rFonts w:ascii="宋体" w:hAnsi="宋体" w:cs="宋体"/>
                <w:sz w:val="24"/>
                <w:szCs w:val="24"/>
              </w:rPr>
              <w:t>10-7分；针对性较强，认识较深得6-4分；针对性一般，认识一般的为中，得3-0分。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894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商务部分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(合计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6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0分)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7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1" w:name="_GoBack" w:colFirst="2" w:colLast="4"/>
          </w:p>
        </w:tc>
        <w:tc>
          <w:tcPr>
            <w:tcW w:w="16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技术负责人和主要参加人员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本项目的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项目负责人、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技术负责人和主要参加人，具有地震相关专业高级工程师职称得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分，最多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得12分。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附职称证、近三个月社保证明，证书原件备查，不提供不得分）。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7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地震安全性评价业绩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投标人或项目组成员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4年1月1日至2019年11月1日之间承担区域地震安全性评价和小区划项目业绩，区域地震安全性评价一项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业绩得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分，最高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得8分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；小区划业绩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一项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最高得4分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。本项最高得1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分。</w:t>
            </w:r>
          </w:p>
          <w:p>
            <w:pPr>
              <w:ind w:left="113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需附合同复印件或中标通知书，原件备查，不提供不得分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活断层探测方面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ind w:left="113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投标人或项目组成员承担过市、县活断层探测与地震危险性评价项目一项业绩得5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分，本项最高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得10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</w:p>
          <w:p>
            <w:pPr>
              <w:ind w:left="113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附合同，原件备查，不提供不得分）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投标人或项目组成员获得国家地震部门颁发的相关奖项，一项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得5分，本项最高得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分。</w:t>
            </w:r>
          </w:p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（附证书，原件备查，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不提供不得分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67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技术装备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投标人或项目组成员具有地震危险性分析类计算软件一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项得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，土层地震反应分析类计算软件一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项得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，本项最高得10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。</w:t>
            </w:r>
          </w:p>
          <w:p>
            <w:pPr>
              <w:ind w:left="113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（投标人自行研发使用的提供软件专利证书或软件著作权证书，投标人购买使用的提供购买合同和使用授权书，原件备查，不提供不得分）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分</w:t>
            </w:r>
          </w:p>
        </w:tc>
      </w:tr>
      <w:bookmarkEnd w:id="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67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技术、标准制定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投标人或者其项目组成员，参与地质、地球物理、地震工程、岩土工程等对口专业的国家、行业、企业技术规范、标准制定的，每项得3分，本项最高得6分。</w:t>
            </w:r>
          </w:p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（附技术规范单位参编页复印件，不提供不得分）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</w:t>
            </w:r>
          </w:p>
        </w:tc>
        <w:tc>
          <w:tcPr>
            <w:tcW w:w="894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价格部分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(合计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3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0分)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67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80" w:lineRule="atLeast"/>
              <w:ind w:left="1418" w:hanging="284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80" w:lineRule="atLeas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投标报价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80" w:lineRule="atLeas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价格分应当采用低价优先法计算，即满足招标文件要求且投标价格最低的投标报价为评标基准价，其价格分为满分。其他投标人的价格分统一按照下列公式计算：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tabs>
                <w:tab w:val="left" w:pos="1134"/>
              </w:tabs>
              <w:adjustRightInd w:val="0"/>
              <w:snapToGrid w:val="0"/>
              <w:spacing w:before="120" w:line="28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投标报价得分</w:t>
            </w:r>
            <w:r>
              <w:rPr>
                <w:rFonts w:ascii="宋体" w:hAnsi="宋体" w:cs="宋体"/>
                <w:sz w:val="24"/>
                <w:szCs w:val="24"/>
              </w:rPr>
              <w:t>=(评标基准价／投标报价)×100×价格权重。</w:t>
            </w:r>
          </w:p>
          <w:p>
            <w:pPr>
              <w:tabs>
                <w:tab w:val="left" w:pos="1134"/>
              </w:tabs>
              <w:adjustRightInd w:val="0"/>
              <w:snapToGrid w:val="0"/>
              <w:spacing w:before="120" w:line="28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</w:t>
            </w:r>
          </w:p>
          <w:p>
            <w:pPr>
              <w:tabs>
                <w:tab w:val="left" w:pos="1134"/>
              </w:tabs>
              <w:adjustRightInd w:val="0"/>
              <w:snapToGrid w:val="0"/>
              <w:spacing w:before="120" w:line="28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1、因落实政府采购政策进行价格调整的，以调整后的价格计算评标基准价和投标报价,详见《价格扣除》，</w:t>
            </w:r>
          </w:p>
          <w:p>
            <w:pPr>
              <w:tabs>
                <w:tab w:val="left" w:pos="1134"/>
              </w:tabs>
              <w:adjustRightInd w:val="0"/>
              <w:snapToGrid w:val="0"/>
              <w:spacing w:before="120" w:line="28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2、投标报价得分四舍五入后，小数点后保留两位有效数。</w:t>
            </w:r>
          </w:p>
          <w:p>
            <w:pPr>
              <w:tabs>
                <w:tab w:val="left" w:pos="1134"/>
              </w:tabs>
              <w:adjustRightInd w:val="0"/>
              <w:snapToGrid w:val="0"/>
              <w:spacing w:before="120" w:line="280" w:lineRule="atLeas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3、投标报价高于最高限价的为无效报价。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0%</w:t>
            </w:r>
          </w:p>
        </w:tc>
        <w:tc>
          <w:tcPr>
            <w:tcW w:w="10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871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104" w:leftChars="-37" w:right="-98" w:rightChars="-35"/>
              <w:jc w:val="center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80" w:lineRule="atLeast"/>
              <w:ind w:left="180" w:leftChars="-37" w:right="-98" w:rightChars="-35" w:hanging="284"/>
              <w:jc w:val="center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045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80" w:lineRule="atLeast"/>
              <w:ind w:left="180" w:leftChars="-37" w:right="-98" w:rightChars="-35" w:hanging="284"/>
              <w:jc w:val="center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100分</w:t>
            </w:r>
          </w:p>
        </w:tc>
      </w:tr>
    </w:tbl>
    <w:p>
      <w:pPr>
        <w:pStyle w:val="2"/>
        <w:spacing w:before="0" w:after="0" w:line="400" w:lineRule="exact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注：投标人提供的所有证件资料均需加盖投标人公章，否则视为无效证明文件。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A5A"/>
    <w:multiLevelType w:val="multilevel"/>
    <w:tmpl w:val="24714A5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73457C"/>
    <w:multiLevelType w:val="multilevel"/>
    <w:tmpl w:val="6C73457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40F60"/>
    <w:rsid w:val="09F40F60"/>
    <w:rsid w:val="786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sz w:val="21"/>
      <w:szCs w:val="21"/>
    </w:rPr>
  </w:style>
  <w:style w:type="paragraph" w:customStyle="1" w:styleId="6">
    <w:name w:val="Table Paragraph"/>
    <w:basedOn w:val="1"/>
    <w:qFormat/>
    <w:uiPriority w:val="1"/>
    <w:rPr>
      <w:rFonts w:ascii="宋体" w:hAnsi="宋体" w:cs="宋体"/>
      <w:sz w:val="21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2019-11-20T04:51:00Z</dcterms:created>
  <dc:creator>admin</dc:creator>
  <cp:lastModifiedBy>admin</cp:lastModifiedBy>
  <dcterms:modified xsi:type="dcterms:W3CDTF">2019-11-20T06:00:54Z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